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65C13" w14:textId="77777777" w:rsidR="005840AE" w:rsidRDefault="00A82B42">
      <w:pPr>
        <w:rPr>
          <w:rFonts w:ascii="Century Schoolbook" w:hAnsi="Century Schoolbook" w:cs="Arial"/>
          <w:b/>
          <w:bCs/>
        </w:rPr>
      </w:pPr>
      <w:r>
        <w:rPr>
          <w:rFonts w:ascii="Century Schoolbook" w:hAnsi="Century Schoolbook" w:cs="Arial"/>
          <w:b/>
          <w:bCs/>
        </w:rPr>
        <w:t xml:space="preserve">Agenda Economic Development Reform Panel </w:t>
      </w:r>
      <w:r>
        <w:rPr>
          <w:rFonts w:ascii="Century Schoolbook" w:hAnsi="Century Schoolbook" w:cs="Arial"/>
          <w:b/>
          <w:bCs/>
        </w:rPr>
        <w:br/>
        <w:t xml:space="preserve">April 23, 2021, 1-2:30 p.m. </w:t>
      </w:r>
    </w:p>
    <w:p w14:paraId="71170689" w14:textId="77777777" w:rsidR="005840AE" w:rsidRDefault="00A82B42">
      <w:pPr>
        <w:pStyle w:val="ListParagraph"/>
        <w:numPr>
          <w:ilvl w:val="0"/>
          <w:numId w:val="8"/>
        </w:numPr>
        <w:rPr>
          <w:rFonts w:ascii="Century Schoolbook" w:hAnsi="Century Schoolbook" w:cs="Arial"/>
        </w:rPr>
      </w:pPr>
      <w:r>
        <w:rPr>
          <w:rFonts w:ascii="Century Schoolbook" w:hAnsi="Century Schoolbook" w:cs="Arial"/>
        </w:rPr>
        <w:t xml:space="preserve">Call to Order: Chair Ann Marie Tracey </w:t>
      </w:r>
      <w:r>
        <w:rPr>
          <w:rFonts w:ascii="Century Schoolbook" w:hAnsi="Century Schoolbook" w:cs="Arial"/>
        </w:rPr>
        <w:br/>
        <w:t xml:space="preserve">Panelist in attendance: Tim Burke, Bobbi Dillon, Guy </w:t>
      </w:r>
      <w:proofErr w:type="spellStart"/>
      <w:r>
        <w:rPr>
          <w:rFonts w:ascii="Century Schoolbook" w:hAnsi="Century Schoolbook" w:cs="Arial"/>
        </w:rPr>
        <w:t>Guckenberger</w:t>
      </w:r>
      <w:proofErr w:type="spellEnd"/>
      <w:r>
        <w:rPr>
          <w:rFonts w:ascii="Century Schoolbook" w:hAnsi="Century Schoolbook" w:cs="Arial"/>
        </w:rPr>
        <w:t>, Alicia Bond-Lewis, KZ Smith and Bernadette Watson</w:t>
      </w:r>
    </w:p>
    <w:p w14:paraId="1B62BA78" w14:textId="77777777" w:rsidR="005840AE" w:rsidRDefault="005840AE">
      <w:pPr>
        <w:pStyle w:val="ListParagraph"/>
        <w:rPr>
          <w:rFonts w:ascii="Century Schoolbook" w:hAnsi="Century Schoolbook" w:cs="Arial"/>
        </w:rPr>
      </w:pPr>
    </w:p>
    <w:p w14:paraId="35985B72" w14:textId="77777777" w:rsidR="005840AE" w:rsidRDefault="00A82B42">
      <w:pPr>
        <w:pStyle w:val="ListParagraph"/>
        <w:numPr>
          <w:ilvl w:val="0"/>
          <w:numId w:val="8"/>
        </w:numPr>
        <w:rPr>
          <w:rFonts w:ascii="Century Schoolbook" w:hAnsi="Century Schoolbook" w:cs="Arial"/>
        </w:rPr>
      </w:pPr>
      <w:r>
        <w:rPr>
          <w:rFonts w:ascii="Century Schoolbook" w:hAnsi="Century Schoolbook" w:cs="Arial"/>
        </w:rPr>
        <w:t xml:space="preserve">Approval of 3.26.21 and 4.9.21 minutes </w:t>
      </w:r>
    </w:p>
    <w:p w14:paraId="30F8F3B0" w14:textId="77777777" w:rsidR="005840AE" w:rsidRDefault="00A82B42">
      <w:pPr>
        <w:pStyle w:val="ListParagraph"/>
        <w:numPr>
          <w:ilvl w:val="1"/>
          <w:numId w:val="8"/>
        </w:numPr>
        <w:rPr>
          <w:rFonts w:ascii="Century Schoolbook" w:hAnsi="Century Schoolbook" w:cs="Arial"/>
        </w:rPr>
      </w:pPr>
      <w:r>
        <w:rPr>
          <w:rFonts w:ascii="Century Schoolbook" w:hAnsi="Century Schoolbook" w:cs="Arial"/>
        </w:rPr>
        <w:t>Bernadette Watson requested that a spelling correction be made to 4.9.21, then motion to approve</w:t>
      </w:r>
    </w:p>
    <w:p w14:paraId="59A98785" w14:textId="77777777" w:rsidR="005840AE" w:rsidRDefault="00A82B42">
      <w:pPr>
        <w:pStyle w:val="ListParagraph"/>
        <w:numPr>
          <w:ilvl w:val="1"/>
          <w:numId w:val="8"/>
        </w:numPr>
        <w:rPr>
          <w:rFonts w:ascii="Century Schoolbook" w:hAnsi="Century Schoolbook" w:cs="Arial"/>
        </w:rPr>
      </w:pPr>
      <w:r>
        <w:rPr>
          <w:rFonts w:ascii="Century Schoolbook" w:hAnsi="Century Schoolbook" w:cs="Arial"/>
        </w:rPr>
        <w:t xml:space="preserve">Bobbi Dillion seconded the motion </w:t>
      </w:r>
    </w:p>
    <w:p w14:paraId="57C0D853" w14:textId="77777777" w:rsidR="005840AE" w:rsidRDefault="00A82B42">
      <w:pPr>
        <w:pStyle w:val="ListParagraph"/>
        <w:numPr>
          <w:ilvl w:val="1"/>
          <w:numId w:val="8"/>
        </w:numPr>
        <w:rPr>
          <w:rFonts w:ascii="Century Schoolbook" w:hAnsi="Century Schoolbook" w:cs="Arial"/>
        </w:rPr>
      </w:pPr>
      <w:r>
        <w:rPr>
          <w:rFonts w:ascii="Century Schoolbook" w:hAnsi="Century Schoolbook" w:cs="Arial"/>
        </w:rPr>
        <w:t xml:space="preserve">Ann Marie Tracey commented on the 4.9.21 public hearing, summarizing concerns she heard regarding public access and involvement in the development process and cautioned that the panel be considerate to what barriers may be inadvertently created when developing their recommendations.  </w:t>
      </w:r>
    </w:p>
    <w:p w14:paraId="1C37CE48" w14:textId="77777777" w:rsidR="005840AE" w:rsidRDefault="00A82B42">
      <w:pPr>
        <w:pStyle w:val="ListParagraph"/>
        <w:numPr>
          <w:ilvl w:val="0"/>
          <w:numId w:val="8"/>
        </w:numPr>
        <w:rPr>
          <w:rFonts w:ascii="Century Schoolbook" w:hAnsi="Century Schoolbook" w:cs="Arial"/>
        </w:rPr>
      </w:pPr>
      <w:r>
        <w:rPr>
          <w:rFonts w:ascii="Century Schoolbook" w:hAnsi="Century Schoolbook"/>
        </w:rPr>
        <w:t xml:space="preserve">Reform and the First Amendment (Slides Attached) </w:t>
      </w:r>
      <w:r>
        <w:rPr>
          <w:rFonts w:ascii="Century Schoolbook" w:hAnsi="Century Schoolbook"/>
        </w:rPr>
        <w:br/>
        <w:t>Introduction provided by Alicia Bond-Lewis of Prof. Chris Bryant and Evan Gildenblatt</w:t>
      </w:r>
    </w:p>
    <w:p w14:paraId="23F169BD" w14:textId="22214194" w:rsidR="005840AE" w:rsidRDefault="00BF434B">
      <w:pPr>
        <w:pStyle w:val="ListParagraph"/>
        <w:numPr>
          <w:ilvl w:val="1"/>
          <w:numId w:val="8"/>
        </w:numPr>
        <w:rPr>
          <w:rFonts w:ascii="Century Schoolbook" w:hAnsi="Century Schoolbook" w:cs="Arial"/>
        </w:rPr>
      </w:pPr>
      <w:hyperlink r:id="rId8" w:history="1">
        <w:r w:rsidR="00A82B42" w:rsidRPr="00F91903">
          <w:rPr>
            <w:rStyle w:val="Hyperlink"/>
            <w:rFonts w:ascii="Century Schoolbook" w:hAnsi="Century Schoolbook" w:cs="Arial"/>
            <w:i/>
          </w:rPr>
          <w:t xml:space="preserve">Buckley v. </w:t>
        </w:r>
        <w:proofErr w:type="spellStart"/>
        <w:r w:rsidR="00A82B42" w:rsidRPr="00F91903">
          <w:rPr>
            <w:rStyle w:val="Hyperlink"/>
            <w:rFonts w:ascii="Century Schoolbook" w:hAnsi="Century Schoolbook" w:cs="Arial"/>
            <w:i/>
          </w:rPr>
          <w:t>Valeo</w:t>
        </w:r>
        <w:proofErr w:type="spellEnd"/>
        <w:r w:rsidR="00A82B42">
          <w:rPr>
            <w:rStyle w:val="Hyperlink"/>
            <w:rFonts w:ascii="Century Schoolbook" w:hAnsi="Century Schoolbook" w:cs="Arial"/>
          </w:rPr>
          <w:t>, 424 U.S. 1 (1976)</w:t>
        </w:r>
      </w:hyperlink>
      <w:r w:rsidR="00A82B42">
        <w:rPr>
          <w:rFonts w:ascii="Century Schoolbook" w:hAnsi="Century Schoolbook" w:cs="Arial"/>
        </w:rPr>
        <w:t xml:space="preserve"> covered in large the constitutionality to the </w:t>
      </w:r>
      <w:r w:rsidR="00A82B42">
        <w:rPr>
          <w:rFonts w:ascii="Century Schoolbook" w:hAnsi="Century Schoolbook" w:cs="Helvetica"/>
          <w:shd w:val="clear" w:color="auto" w:fill="FFFFFF"/>
        </w:rPr>
        <w:t xml:space="preserve">Federal Election Campaign Act of 1974 </w:t>
      </w:r>
    </w:p>
    <w:p w14:paraId="7F72395E" w14:textId="77777777" w:rsidR="005840AE" w:rsidRDefault="00A82B42">
      <w:pPr>
        <w:pStyle w:val="ListParagraph"/>
        <w:numPr>
          <w:ilvl w:val="2"/>
          <w:numId w:val="8"/>
        </w:numPr>
        <w:rPr>
          <w:rFonts w:ascii="Century Schoolbook" w:hAnsi="Century Schoolbook" w:cs="Arial"/>
        </w:rPr>
      </w:pPr>
      <w:r>
        <w:rPr>
          <w:rFonts w:ascii="Century Schoolbook" w:hAnsi="Century Schoolbook" w:cs="Helvetica"/>
          <w:shd w:val="clear" w:color="auto" w:fill="FFFFFF"/>
        </w:rPr>
        <w:t>Removed limits on</w:t>
      </w:r>
      <w:r>
        <w:rPr>
          <w:rFonts w:ascii="Century Schoolbook" w:hAnsi="Century Schoolbook" w:cs="Helvetica"/>
          <w:i/>
          <w:iCs/>
          <w:shd w:val="clear" w:color="auto" w:fill="FFFFFF"/>
        </w:rPr>
        <w:t xml:space="preserve"> Expenditures</w:t>
      </w:r>
      <w:r>
        <w:rPr>
          <w:rFonts w:ascii="Century Schoolbook" w:hAnsi="Century Schoolbook" w:cs="Helvetica"/>
          <w:shd w:val="clear" w:color="auto" w:fill="FFFFFF"/>
        </w:rPr>
        <w:t xml:space="preserve"> (Independent of the candidate): since limits on expenditures were deemed a severe infringement of free speech </w:t>
      </w:r>
    </w:p>
    <w:p w14:paraId="5C0FD6D0" w14:textId="77777777" w:rsidR="005840AE" w:rsidRDefault="00A82B42">
      <w:pPr>
        <w:pStyle w:val="ListParagraph"/>
        <w:numPr>
          <w:ilvl w:val="2"/>
          <w:numId w:val="8"/>
        </w:numPr>
        <w:rPr>
          <w:rFonts w:ascii="Century Schoolbook" w:hAnsi="Century Schoolbook" w:cs="Arial"/>
        </w:rPr>
      </w:pPr>
      <w:r>
        <w:rPr>
          <w:rFonts w:ascii="Century Schoolbook" w:hAnsi="Century Schoolbook" w:cs="Helvetica"/>
          <w:shd w:val="clear" w:color="auto" w:fill="FFFFFF"/>
        </w:rPr>
        <w:t>Upheld limits on</w:t>
      </w:r>
      <w:r>
        <w:rPr>
          <w:rFonts w:ascii="Century Schoolbook" w:hAnsi="Century Schoolbook" w:cs="Helvetica"/>
          <w:i/>
          <w:iCs/>
          <w:shd w:val="clear" w:color="auto" w:fill="FFFFFF"/>
        </w:rPr>
        <w:t xml:space="preserve"> Contributions</w:t>
      </w:r>
      <w:r>
        <w:rPr>
          <w:rFonts w:ascii="Century Schoolbook" w:hAnsi="Century Schoolbook" w:cs="Helvetica"/>
          <w:shd w:val="clear" w:color="auto" w:fill="FFFFFF"/>
        </w:rPr>
        <w:t xml:space="preserve"> (Candidate resource): since limits on Contributions are only marginal burden on right of speech  </w:t>
      </w:r>
    </w:p>
    <w:p w14:paraId="66B0D994" w14:textId="77777777" w:rsidR="005840AE" w:rsidRDefault="00A82B42">
      <w:pPr>
        <w:pStyle w:val="ListParagraph"/>
        <w:numPr>
          <w:ilvl w:val="2"/>
          <w:numId w:val="8"/>
        </w:numPr>
        <w:rPr>
          <w:rFonts w:ascii="Century Schoolbook" w:hAnsi="Century Schoolbook" w:cs="Arial"/>
        </w:rPr>
      </w:pPr>
      <w:r>
        <w:rPr>
          <w:rFonts w:ascii="Century Schoolbook" w:hAnsi="Century Schoolbook" w:cs="Helvetica"/>
          <w:shd w:val="clear" w:color="auto" w:fill="FFFFFF"/>
        </w:rPr>
        <w:t xml:space="preserve">Upheld disclosures on both Expenditures and Contributions: Upheld the Federal Election Campaign Act (FEC) amendment of 1974 requirement contributor and candidates disclose the exchange and independent expenditures be disclosed.  </w:t>
      </w:r>
    </w:p>
    <w:p w14:paraId="2997F1D0" w14:textId="0045F3E7" w:rsidR="005840AE" w:rsidRDefault="00BF434B">
      <w:pPr>
        <w:pStyle w:val="ListParagraph"/>
        <w:numPr>
          <w:ilvl w:val="1"/>
          <w:numId w:val="8"/>
        </w:numPr>
        <w:rPr>
          <w:rFonts w:ascii="Century Schoolbook" w:hAnsi="Century Schoolbook" w:cs="Arial"/>
        </w:rPr>
      </w:pPr>
      <w:hyperlink r:id="rId9" w:history="1">
        <w:r w:rsidR="00A82B42" w:rsidRPr="00F91903">
          <w:rPr>
            <w:rStyle w:val="Hyperlink"/>
            <w:rFonts w:ascii="Century Schoolbook" w:hAnsi="Century Schoolbook" w:cs="Helvetica"/>
            <w:i/>
            <w:shd w:val="clear" w:color="auto" w:fill="FFFFFF"/>
          </w:rPr>
          <w:t>Citizens United v. FEC</w:t>
        </w:r>
        <w:r w:rsidR="00A82B42">
          <w:rPr>
            <w:rStyle w:val="Hyperlink"/>
            <w:rFonts w:ascii="Century Schoolbook" w:hAnsi="Century Schoolbook" w:cs="Helvetica"/>
            <w:shd w:val="clear" w:color="auto" w:fill="FFFFFF"/>
          </w:rPr>
          <w:t>, 558 U.S. 310 (2010</w:t>
        </w:r>
      </w:hyperlink>
      <w:r w:rsidR="00A82B42">
        <w:rPr>
          <w:rStyle w:val="Hyperlink"/>
          <w:rFonts w:ascii="Century Schoolbook" w:hAnsi="Century Schoolbook" w:cs="Helvetica"/>
          <w:shd w:val="clear" w:color="auto" w:fill="FFFFFF"/>
        </w:rPr>
        <w:t>)</w:t>
      </w:r>
      <w:r w:rsidR="00A82B42">
        <w:rPr>
          <w:rFonts w:ascii="Century Schoolbook" w:hAnsi="Century Schoolbook" w:cs="Helvetica"/>
          <w:shd w:val="clear" w:color="auto" w:fill="FFFFFF"/>
        </w:rPr>
        <w:t xml:space="preserve"> (concerns expenditures not contributions)</w:t>
      </w:r>
    </w:p>
    <w:p w14:paraId="45247362" w14:textId="77777777" w:rsidR="005840AE" w:rsidRDefault="00A82B42">
      <w:pPr>
        <w:pStyle w:val="ListParagraph"/>
        <w:numPr>
          <w:ilvl w:val="2"/>
          <w:numId w:val="8"/>
        </w:numPr>
        <w:rPr>
          <w:rFonts w:ascii="Century Schoolbook" w:hAnsi="Century Schoolbook" w:cs="Arial"/>
        </w:rPr>
      </w:pPr>
      <w:r>
        <w:rPr>
          <w:rFonts w:ascii="Century Schoolbook" w:hAnsi="Century Schoolbook" w:cs="Helvetica"/>
          <w:shd w:val="clear" w:color="auto" w:fill="FFFFFF"/>
        </w:rPr>
        <w:t xml:space="preserve">Prohibits government from restricting independent expenditures of corporations to express advocacy. </w:t>
      </w:r>
    </w:p>
    <w:p w14:paraId="226B40A2" w14:textId="77777777" w:rsidR="005840AE" w:rsidRDefault="00A82B42">
      <w:pPr>
        <w:pStyle w:val="ListParagraph"/>
        <w:numPr>
          <w:ilvl w:val="2"/>
          <w:numId w:val="8"/>
        </w:numPr>
        <w:rPr>
          <w:rFonts w:ascii="Century Schoolbook" w:hAnsi="Century Schoolbook" w:cs="Arial"/>
        </w:rPr>
      </w:pPr>
      <w:r>
        <w:rPr>
          <w:rFonts w:ascii="Century Schoolbook" w:hAnsi="Century Schoolbook" w:cs="Helvetica"/>
          <w:shd w:val="clear" w:color="auto" w:fill="FFFFFF"/>
        </w:rPr>
        <w:t xml:space="preserve">2002, Congress closed loophole and enacted broader prohibition on electioneering broadcasting. </w:t>
      </w:r>
    </w:p>
    <w:p w14:paraId="079B4C04" w14:textId="16AA866A" w:rsidR="005840AE" w:rsidRDefault="00A82B42">
      <w:pPr>
        <w:pStyle w:val="ListParagraph"/>
        <w:numPr>
          <w:ilvl w:val="2"/>
          <w:numId w:val="8"/>
        </w:numPr>
        <w:rPr>
          <w:rFonts w:ascii="Century Schoolbook" w:hAnsi="Century Schoolbook" w:cs="Arial"/>
        </w:rPr>
      </w:pPr>
      <w:r>
        <w:rPr>
          <w:rFonts w:ascii="Century Schoolbook" w:hAnsi="Century Schoolbook" w:cs="Helvetica"/>
          <w:shd w:val="clear" w:color="auto" w:fill="FFFFFF"/>
        </w:rPr>
        <w:t>Corruption – only quid pro quo</w:t>
      </w:r>
    </w:p>
    <w:p w14:paraId="6BBFDBAA" w14:textId="26F34B68" w:rsidR="005840AE" w:rsidRDefault="00A82B42">
      <w:pPr>
        <w:pStyle w:val="ListParagraph"/>
        <w:numPr>
          <w:ilvl w:val="1"/>
          <w:numId w:val="8"/>
        </w:numPr>
        <w:rPr>
          <w:rFonts w:ascii="Century Schoolbook" w:hAnsi="Century Schoolbook" w:cs="Arial"/>
        </w:rPr>
      </w:pPr>
      <w:r w:rsidRPr="00F91903">
        <w:rPr>
          <w:rFonts w:ascii="Century Schoolbook" w:hAnsi="Century Schoolbook" w:cs="Helvetica"/>
          <w:i/>
          <w:u w:val="single"/>
          <w:shd w:val="clear" w:color="auto" w:fill="FFFFFF"/>
        </w:rPr>
        <w:t>McCutcheon v. FEC</w:t>
      </w:r>
      <w:r>
        <w:rPr>
          <w:rFonts w:ascii="Century Schoolbook" w:hAnsi="Century Schoolbook" w:cs="Helvetica"/>
          <w:u w:val="single"/>
          <w:shd w:val="clear" w:color="auto" w:fill="FFFFFF"/>
        </w:rPr>
        <w:t>, 572 U.S. 185</w:t>
      </w:r>
      <w:r w:rsidRPr="00F91903">
        <w:rPr>
          <w:rFonts w:ascii="Century Schoolbook" w:hAnsi="Century Schoolbook" w:cs="Helvetica"/>
          <w:u w:val="single"/>
          <w:shd w:val="clear" w:color="auto" w:fill="FFFFFF"/>
        </w:rPr>
        <w:t xml:space="preserve"> </w:t>
      </w:r>
      <w:r>
        <w:rPr>
          <w:rFonts w:ascii="Century Schoolbook" w:hAnsi="Century Schoolbook" w:cs="Helvetica"/>
          <w:u w:val="single"/>
          <w:shd w:val="clear" w:color="auto" w:fill="FFFFFF"/>
        </w:rPr>
        <w:t>(</w:t>
      </w:r>
      <w:r w:rsidRPr="00F91903">
        <w:rPr>
          <w:rFonts w:ascii="Century Schoolbook" w:hAnsi="Century Schoolbook" w:cs="Helvetica"/>
          <w:u w:val="single"/>
          <w:shd w:val="clear" w:color="auto" w:fill="FFFFFF"/>
        </w:rPr>
        <w:t>2014</w:t>
      </w:r>
      <w:r>
        <w:rPr>
          <w:rFonts w:ascii="Century Schoolbook" w:hAnsi="Century Schoolbook" w:cs="Helvetica"/>
          <w:u w:val="single"/>
          <w:shd w:val="clear" w:color="auto" w:fill="FFFFFF"/>
        </w:rPr>
        <w:t>)</w:t>
      </w:r>
      <w:r>
        <w:rPr>
          <w:rFonts w:ascii="Century Schoolbook" w:hAnsi="Century Schoolbook" w:cs="Helvetica"/>
          <w:shd w:val="clear" w:color="auto" w:fill="FFFFFF"/>
        </w:rPr>
        <w:t xml:space="preserve"> - </w:t>
      </w:r>
      <w:r w:rsidRPr="00F91903">
        <w:rPr>
          <w:rFonts w:ascii="Times New Roman" w:hAnsi="Times New Roman" w:cs="Times New Roman"/>
          <w:color w:val="373739"/>
        </w:rPr>
        <w:t>Aggregate limits that were imposed under 2 U.S.C.S. § 441a(a)(3) on amounts individuals could contribute to candidates and political committees violated First Amendment because they restricted right to participate in the political process while doing little, if anything, to target “quid pro quo” corruption or its appearance in campaign financing</w:t>
      </w:r>
      <w:r>
        <w:rPr>
          <w:rFonts w:ascii="Helvetica" w:hAnsi="Helvetica" w:cs="Helvetica"/>
          <w:color w:val="373739"/>
          <w:sz w:val="21"/>
          <w:szCs w:val="21"/>
        </w:rPr>
        <w:t>.</w:t>
      </w:r>
      <w:r>
        <w:rPr>
          <w:rFonts w:ascii="Century Schoolbook" w:hAnsi="Century Schoolbook" w:cs="Helvetica"/>
          <w:shd w:val="clear" w:color="auto" w:fill="FFFFFF"/>
        </w:rPr>
        <w:br/>
      </w:r>
    </w:p>
    <w:p w14:paraId="3A5AFB06" w14:textId="77777777" w:rsidR="005840AE" w:rsidRDefault="00A82B42">
      <w:pPr>
        <w:pStyle w:val="ListParagraph"/>
        <w:numPr>
          <w:ilvl w:val="0"/>
          <w:numId w:val="8"/>
        </w:numPr>
        <w:rPr>
          <w:rFonts w:ascii="Century Schoolbook" w:hAnsi="Century Schoolbook" w:cs="Arial"/>
        </w:rPr>
      </w:pPr>
      <w:r>
        <w:rPr>
          <w:rFonts w:ascii="Century Schoolbook" w:hAnsi="Century Schoolbook" w:cs="Arial"/>
        </w:rPr>
        <w:t xml:space="preserve">Evan </w:t>
      </w:r>
      <w:r>
        <w:rPr>
          <w:rFonts w:ascii="Century Schoolbook" w:hAnsi="Century Schoolbook"/>
        </w:rPr>
        <w:t>Gildenblatt</w:t>
      </w:r>
      <w:r>
        <w:rPr>
          <w:rFonts w:ascii="Century Schoolbook" w:hAnsi="Century Schoolbook" w:cs="Arial"/>
        </w:rPr>
        <w:t xml:space="preserve"> – Rebuilding Public Trust (slides attached) </w:t>
      </w:r>
    </w:p>
    <w:p w14:paraId="4F5CEF2B" w14:textId="77777777" w:rsidR="005840AE" w:rsidRDefault="00A82B42">
      <w:pPr>
        <w:pStyle w:val="ListParagraph"/>
        <w:numPr>
          <w:ilvl w:val="1"/>
          <w:numId w:val="8"/>
        </w:numPr>
        <w:rPr>
          <w:rFonts w:ascii="Century Schoolbook" w:hAnsi="Century Schoolbook" w:cs="Helvetica"/>
          <w:shd w:val="clear" w:color="auto" w:fill="FFFFFF"/>
        </w:rPr>
      </w:pPr>
      <w:r>
        <w:rPr>
          <w:rFonts w:ascii="Century Schoolbook" w:hAnsi="Century Schoolbook" w:cs="Arial"/>
        </w:rPr>
        <w:t>Brief overview of best practices</w:t>
      </w:r>
    </w:p>
    <w:p w14:paraId="3B50243B" w14:textId="77777777" w:rsidR="005840AE" w:rsidRDefault="00A82B42">
      <w:pPr>
        <w:pStyle w:val="ListParagraph"/>
        <w:numPr>
          <w:ilvl w:val="1"/>
          <w:numId w:val="8"/>
        </w:numPr>
        <w:rPr>
          <w:rFonts w:ascii="Century Schoolbook" w:hAnsi="Century Schoolbook" w:cs="Helvetica"/>
          <w:shd w:val="clear" w:color="auto" w:fill="FFFFFF"/>
        </w:rPr>
      </w:pPr>
      <w:r>
        <w:rPr>
          <w:rFonts w:ascii="Century Schoolbook" w:hAnsi="Century Schoolbook" w:cs="Arial"/>
        </w:rPr>
        <w:lastRenderedPageBreak/>
        <w:t xml:space="preserve">Evan to provide the panel a page of resources (attached) for research available under codes of conduct and required training </w:t>
      </w:r>
    </w:p>
    <w:p w14:paraId="0C8ABC96" w14:textId="77777777" w:rsidR="005840AE" w:rsidRDefault="005840AE">
      <w:pPr>
        <w:pStyle w:val="ListParagraph"/>
        <w:ind w:left="1440"/>
        <w:rPr>
          <w:rFonts w:ascii="Century Schoolbook" w:hAnsi="Century Schoolbook" w:cs="Helvetica"/>
          <w:shd w:val="clear" w:color="auto" w:fill="FFFFFF"/>
        </w:rPr>
      </w:pPr>
    </w:p>
    <w:p w14:paraId="41716F1B" w14:textId="77777777" w:rsidR="005840AE" w:rsidRDefault="00A82B42">
      <w:pPr>
        <w:pStyle w:val="ListParagraph"/>
        <w:numPr>
          <w:ilvl w:val="0"/>
          <w:numId w:val="8"/>
        </w:numPr>
        <w:rPr>
          <w:rFonts w:ascii="Century Schoolbook" w:hAnsi="Century Schoolbook" w:cs="Helvetica"/>
          <w:shd w:val="clear" w:color="auto" w:fill="FFFFFF"/>
        </w:rPr>
      </w:pPr>
      <w:r>
        <w:rPr>
          <w:rFonts w:ascii="Century Schoolbook" w:hAnsi="Century Schoolbook" w:cs="Helvetica"/>
          <w:shd w:val="clear" w:color="auto" w:fill="FFFFFF"/>
        </w:rPr>
        <w:t>Key Points under Panel Discussion re: prohibitions on contributions from developers.</w:t>
      </w:r>
    </w:p>
    <w:p w14:paraId="37C02385" w14:textId="506C1C21" w:rsidR="005840AE" w:rsidRDefault="00A82B42">
      <w:pPr>
        <w:pStyle w:val="ListParagraph"/>
        <w:numPr>
          <w:ilvl w:val="1"/>
          <w:numId w:val="8"/>
        </w:numPr>
        <w:rPr>
          <w:rFonts w:ascii="Century Schoolbook" w:hAnsi="Century Schoolbook" w:cs="Arial"/>
        </w:rPr>
      </w:pPr>
      <w:r>
        <w:rPr>
          <w:rFonts w:ascii="Century Schoolbook" w:hAnsi="Century Schoolbook" w:cs="Arial"/>
        </w:rPr>
        <w:t xml:space="preserve">Pay to play restrictions – the Supreme Court has not weighed in, lower courts response:  </w:t>
      </w:r>
    </w:p>
    <w:p w14:paraId="611F6E72" w14:textId="1B1F3A19" w:rsidR="005840AE" w:rsidRDefault="00BF434B">
      <w:pPr>
        <w:pStyle w:val="ListParagraph"/>
        <w:numPr>
          <w:ilvl w:val="2"/>
          <w:numId w:val="8"/>
        </w:numPr>
        <w:rPr>
          <w:rFonts w:ascii="Century Schoolbook" w:hAnsi="Century Schoolbook" w:cs="Arial"/>
        </w:rPr>
      </w:pPr>
      <w:hyperlink r:id="rId10" w:history="1">
        <w:r w:rsidR="00A82B42" w:rsidRPr="00F91903">
          <w:rPr>
            <w:rStyle w:val="Hyperlink"/>
            <w:rFonts w:ascii="Century Schoolbook" w:hAnsi="Century Schoolbook" w:cs="Arial"/>
            <w:i/>
          </w:rPr>
          <w:t>Wagner v. FEC</w:t>
        </w:r>
        <w:r w:rsidR="00A82B42">
          <w:rPr>
            <w:rStyle w:val="Hyperlink"/>
            <w:rFonts w:ascii="Century Schoolbook" w:hAnsi="Century Schoolbook" w:cs="Arial"/>
          </w:rPr>
          <w:t>, 793 F.3d 1 (D.C. 2015)</w:t>
        </w:r>
      </w:hyperlink>
      <w:r w:rsidR="00A82B42">
        <w:rPr>
          <w:rFonts w:ascii="Century Schoolbook" w:hAnsi="Century Schoolbook" w:cs="Arial"/>
        </w:rPr>
        <w:t xml:space="preserve"> </w:t>
      </w:r>
      <w:r w:rsidR="00A82B42" w:rsidRPr="00F91903">
        <w:rPr>
          <w:rFonts w:ascii="Times New Roman" w:hAnsi="Times New Roman" w:cs="Times New Roman"/>
          <w:color w:val="212121"/>
          <w:shd w:val="clear" w:color="auto" w:fill="FFFFFF"/>
        </w:rPr>
        <w:t xml:space="preserve">upheld the provision in the Federal Election Campaign Act that prohibits contributions made in connection with federal elections by federal government contractors. </w:t>
      </w:r>
      <w:r w:rsidR="00A82B42">
        <w:rPr>
          <w:rFonts w:ascii="Century Schoolbook" w:hAnsi="Century Schoolbook" w:cs="Arial"/>
        </w:rPr>
        <w:t xml:space="preserve"> The prohibition applies, between commencement of negotiation and extended to completion of contract. </w:t>
      </w:r>
    </w:p>
    <w:p w14:paraId="0DDCF00C"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 xml:space="preserve">Courts tolerant of restrictions when tied to past corruptions and need to restore public trust. </w:t>
      </w:r>
    </w:p>
    <w:p w14:paraId="6FF1ADA9" w14:textId="77777777" w:rsidR="005840AE" w:rsidRDefault="00A82B42">
      <w:pPr>
        <w:pStyle w:val="ListParagraph"/>
        <w:numPr>
          <w:ilvl w:val="1"/>
          <w:numId w:val="8"/>
        </w:numPr>
        <w:rPr>
          <w:rFonts w:ascii="Century Schoolbook" w:hAnsi="Century Schoolbook" w:cs="Arial"/>
        </w:rPr>
      </w:pPr>
      <w:r>
        <w:rPr>
          <w:rFonts w:ascii="Century Schoolbook" w:hAnsi="Century Schoolbook" w:cs="Arial"/>
        </w:rPr>
        <w:t>Speakers Recommendations to panel:</w:t>
      </w:r>
    </w:p>
    <w:p w14:paraId="25A01A2B"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 xml:space="preserve">It may be easier to identify contractor’s vs those implicated in economic development efforts </w:t>
      </w:r>
    </w:p>
    <w:p w14:paraId="0A189B26"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 xml:space="preserve">With the creation of any regulation, consider what loopholes may be inadvertently created. </w:t>
      </w:r>
    </w:p>
    <w:p w14:paraId="6D04A4C5"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 xml:space="preserve">Lower ceiling vs a blanket prohibition easier to defend </w:t>
      </w:r>
    </w:p>
    <w:p w14:paraId="6631FA99"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Look to other Cities for best practices e.g. LA – November 2019, has not been challenged</w:t>
      </w:r>
    </w:p>
    <w:p w14:paraId="2667A21D"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 xml:space="preserve">When considering potential limitations of contact by developer to elected officials be careful not to limit speech, utilize administrative procedures to restructure contact </w:t>
      </w:r>
      <w:r>
        <w:rPr>
          <w:rFonts w:ascii="Century Schoolbook" w:hAnsi="Century Schoolbook" w:cs="Arial"/>
        </w:rPr>
        <w:br/>
      </w:r>
    </w:p>
    <w:p w14:paraId="70C306E7" w14:textId="77777777" w:rsidR="005840AE" w:rsidRDefault="00A82B42">
      <w:pPr>
        <w:pStyle w:val="ListParagraph"/>
        <w:numPr>
          <w:ilvl w:val="0"/>
          <w:numId w:val="8"/>
        </w:numPr>
        <w:rPr>
          <w:rFonts w:ascii="Century Schoolbook" w:hAnsi="Century Schoolbook" w:cs="Arial"/>
        </w:rPr>
      </w:pPr>
      <w:r>
        <w:rPr>
          <w:rFonts w:ascii="Century Schoolbook" w:hAnsi="Century Schoolbook" w:cs="Arial"/>
        </w:rPr>
        <w:t xml:space="preserve">Planning or Other Business </w:t>
      </w:r>
    </w:p>
    <w:p w14:paraId="04ECB9FE" w14:textId="77777777" w:rsidR="005840AE" w:rsidRDefault="00A82B42">
      <w:pPr>
        <w:pStyle w:val="ListParagraph"/>
        <w:numPr>
          <w:ilvl w:val="1"/>
          <w:numId w:val="8"/>
        </w:numPr>
        <w:rPr>
          <w:rFonts w:ascii="Century Schoolbook" w:hAnsi="Century Schoolbook" w:cs="Arial"/>
        </w:rPr>
      </w:pPr>
      <w:r>
        <w:rPr>
          <w:rFonts w:ascii="Century Schoolbook" w:hAnsi="Century Schoolbook" w:cs="Arial"/>
        </w:rPr>
        <w:t xml:space="preserve">Discussion Highlights </w:t>
      </w:r>
    </w:p>
    <w:p w14:paraId="08A7F24F"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 xml:space="preserve">Guy advised the panel to propose recommendations vs legislation (reference cities w/comparable ordinances best practices) </w:t>
      </w:r>
    </w:p>
    <w:p w14:paraId="2E077A8C"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 xml:space="preserve">Bernadette emphasized continued reference back to the panel’s mission </w:t>
      </w:r>
    </w:p>
    <w:p w14:paraId="6FF50906" w14:textId="77777777" w:rsidR="005840AE" w:rsidRDefault="00A82B42">
      <w:pPr>
        <w:pStyle w:val="ListParagraph"/>
        <w:numPr>
          <w:ilvl w:val="1"/>
          <w:numId w:val="8"/>
        </w:numPr>
        <w:rPr>
          <w:rFonts w:ascii="Century Schoolbook" w:hAnsi="Century Schoolbook" w:cs="Arial"/>
        </w:rPr>
      </w:pPr>
      <w:r>
        <w:rPr>
          <w:rFonts w:ascii="Century Schoolbook" w:hAnsi="Century Schoolbook" w:cs="Arial"/>
        </w:rPr>
        <w:t>Next steps in preparation recommendations</w:t>
      </w:r>
    </w:p>
    <w:p w14:paraId="266825EA"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Solicitor’s Office offered to c</w:t>
      </w:r>
      <w:r>
        <w:t xml:space="preserve">ompile resources by topics and then set a timeline </w:t>
      </w:r>
      <w:r>
        <w:rPr>
          <w:rFonts w:ascii="Century Schoolbook" w:hAnsi="Century Schoolbook" w:cs="Arial"/>
        </w:rPr>
        <w:t xml:space="preserve">to assist </w:t>
      </w:r>
    </w:p>
    <w:p w14:paraId="048349DE" w14:textId="77777777" w:rsidR="005840AE" w:rsidRDefault="00A82B42">
      <w:pPr>
        <w:pStyle w:val="ListParagraph"/>
        <w:numPr>
          <w:ilvl w:val="2"/>
          <w:numId w:val="8"/>
        </w:numPr>
        <w:rPr>
          <w:rFonts w:ascii="Century Schoolbook" w:hAnsi="Century Schoolbook" w:cs="Arial"/>
        </w:rPr>
      </w:pPr>
      <w:r>
        <w:rPr>
          <w:rFonts w:ascii="Century Schoolbook" w:hAnsi="Century Schoolbook" w:cs="Arial"/>
        </w:rPr>
        <w:t xml:space="preserve">Kelly to send doodle pol and issue public notice re: special meeting, which will serve as a working meeting. </w:t>
      </w:r>
    </w:p>
    <w:p w14:paraId="3BB5848B" w14:textId="77777777" w:rsidR="005840AE" w:rsidRDefault="005840AE">
      <w:pPr>
        <w:pStyle w:val="ListParagraph"/>
        <w:ind w:left="1080"/>
        <w:rPr>
          <w:rFonts w:ascii="Century Schoolbook" w:hAnsi="Century Schoolbook" w:cs="Arial"/>
        </w:rPr>
      </w:pPr>
    </w:p>
    <w:p w14:paraId="3DAA997E" w14:textId="77777777" w:rsidR="005840AE" w:rsidRDefault="00A82B42">
      <w:pPr>
        <w:pStyle w:val="ListParagraph"/>
        <w:numPr>
          <w:ilvl w:val="0"/>
          <w:numId w:val="8"/>
        </w:numPr>
        <w:rPr>
          <w:rFonts w:ascii="Century Schoolbook" w:hAnsi="Century Schoolbook" w:cs="Arial"/>
        </w:rPr>
      </w:pPr>
      <w:r>
        <w:rPr>
          <w:rFonts w:ascii="Century Schoolbook" w:hAnsi="Century Schoolbook" w:cs="Arial"/>
        </w:rPr>
        <w:t xml:space="preserve">Meeting Adjourned at 2:50pm </w:t>
      </w:r>
    </w:p>
    <w:p w14:paraId="54CF5E2C" w14:textId="77777777" w:rsidR="005840AE" w:rsidRDefault="005840AE">
      <w:pPr>
        <w:pStyle w:val="ListParagraph"/>
        <w:ind w:left="1080"/>
        <w:jc w:val="center"/>
        <w:rPr>
          <w:rFonts w:ascii="Century Schoolbook" w:hAnsi="Century Schoolbook" w:cs="Arial"/>
          <w:b/>
          <w:bCs/>
        </w:rPr>
      </w:pPr>
    </w:p>
    <w:p w14:paraId="325CB14D" w14:textId="77777777" w:rsidR="005840AE" w:rsidRDefault="00A82B42">
      <w:pPr>
        <w:pStyle w:val="ListParagraph"/>
        <w:ind w:left="1080"/>
        <w:jc w:val="center"/>
        <w:rPr>
          <w:rFonts w:ascii="Century Schoolbook" w:hAnsi="Century Schoolbook" w:cs="Arial"/>
          <w:b/>
          <w:bCs/>
        </w:rPr>
      </w:pPr>
      <w:r>
        <w:rPr>
          <w:rFonts w:ascii="Century Schoolbook" w:hAnsi="Century Schoolbook" w:cs="Arial"/>
          <w:b/>
          <w:bCs/>
        </w:rPr>
        <w:t>The Next Meeting is May 7, 2021 at 1pm EST.</w:t>
      </w:r>
    </w:p>
    <w:sectPr w:rsidR="005840AE">
      <w:head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199046" w14:textId="77777777" w:rsidR="00BF434B" w:rsidRDefault="00BF434B">
      <w:pPr>
        <w:spacing w:after="0" w:line="240" w:lineRule="auto"/>
      </w:pPr>
      <w:r>
        <w:separator/>
      </w:r>
    </w:p>
  </w:endnote>
  <w:endnote w:type="continuationSeparator" w:id="0">
    <w:p w14:paraId="78CA8E31" w14:textId="77777777" w:rsidR="00BF434B" w:rsidRDefault="00BF43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B253A3" w14:textId="77777777" w:rsidR="00BF434B" w:rsidRDefault="00BF434B">
      <w:pPr>
        <w:spacing w:after="0" w:line="240" w:lineRule="auto"/>
      </w:pPr>
      <w:r>
        <w:separator/>
      </w:r>
    </w:p>
  </w:footnote>
  <w:footnote w:type="continuationSeparator" w:id="0">
    <w:p w14:paraId="3939F794" w14:textId="77777777" w:rsidR="00BF434B" w:rsidRDefault="00BF43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B22D6C" w14:textId="3F0F74DA" w:rsidR="005840AE" w:rsidRDefault="005F4618">
    <w:pPr>
      <w:pStyle w:val="Header"/>
    </w:pPr>
    <w:r>
      <w:t xml:space="preserve">Minutes Approved 5.7.21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EB5586"/>
    <w:multiLevelType w:val="hybridMultilevel"/>
    <w:tmpl w:val="F2289C2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F00E9B"/>
    <w:multiLevelType w:val="hybridMultilevel"/>
    <w:tmpl w:val="3EDA9984"/>
    <w:lvl w:ilvl="0" w:tplc="FFAC0C90">
      <w:start w:val="17"/>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946082"/>
    <w:multiLevelType w:val="hybridMultilevel"/>
    <w:tmpl w:val="5AE0AC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2134B4"/>
    <w:multiLevelType w:val="hybridMultilevel"/>
    <w:tmpl w:val="FD38F6AA"/>
    <w:lvl w:ilvl="0" w:tplc="A8205A7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F60657"/>
    <w:multiLevelType w:val="hybridMultilevel"/>
    <w:tmpl w:val="D8909AAA"/>
    <w:lvl w:ilvl="0" w:tplc="F62215E0">
      <w:start w:val="1"/>
      <w:numFmt w:val="decimal"/>
      <w:lvlText w:val="%1."/>
      <w:lvlJc w:val="left"/>
      <w:pPr>
        <w:ind w:left="1800" w:hanging="360"/>
      </w:pPr>
      <w:rPr>
        <w:rFonts w:ascii="Arial" w:eastAsiaTheme="minorHAnsi" w:hAnsi="Arial" w:cs="Arial"/>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D3E5BCE"/>
    <w:multiLevelType w:val="hybridMultilevel"/>
    <w:tmpl w:val="048E0B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B53C92"/>
    <w:multiLevelType w:val="hybridMultilevel"/>
    <w:tmpl w:val="E3DE3F56"/>
    <w:lvl w:ilvl="0" w:tplc="08CCC2A6">
      <w:start w:val="100"/>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22A2407"/>
    <w:multiLevelType w:val="hybridMultilevel"/>
    <w:tmpl w:val="A48CFFE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47CC16ED"/>
    <w:multiLevelType w:val="hybridMultilevel"/>
    <w:tmpl w:val="12163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55696815"/>
    <w:multiLevelType w:val="hybridMultilevel"/>
    <w:tmpl w:val="03704088"/>
    <w:lvl w:ilvl="0" w:tplc="00340310">
      <w:start w:val="1"/>
      <w:numFmt w:val="decimal"/>
      <w:lvlText w:val="%1."/>
      <w:lvlJc w:val="left"/>
      <w:pPr>
        <w:ind w:left="1800" w:hanging="360"/>
      </w:pPr>
      <w:rPr>
        <w:rFonts w:ascii="Arial" w:eastAsiaTheme="minorHAnsi" w:hAnsi="Arial" w:cs="Arial"/>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733D2E70"/>
    <w:multiLevelType w:val="hybridMultilevel"/>
    <w:tmpl w:val="B8A41C8A"/>
    <w:lvl w:ilvl="0" w:tplc="28BAE71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5E76D3A"/>
    <w:multiLevelType w:val="hybridMultilevel"/>
    <w:tmpl w:val="CFE4DF5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7AE73F16"/>
    <w:multiLevelType w:val="hybridMultilevel"/>
    <w:tmpl w:val="D60C489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7B9B38E2"/>
    <w:multiLevelType w:val="hybridMultilevel"/>
    <w:tmpl w:val="CD561658"/>
    <w:lvl w:ilvl="0" w:tplc="010430A6">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E567AB8"/>
    <w:multiLevelType w:val="hybridMultilevel"/>
    <w:tmpl w:val="DFC6371C"/>
    <w:lvl w:ilvl="0" w:tplc="ABF6AB0E">
      <w:start w:val="100"/>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10"/>
  </w:num>
  <w:num w:numId="4">
    <w:abstractNumId w:val="4"/>
  </w:num>
  <w:num w:numId="5">
    <w:abstractNumId w:val="5"/>
  </w:num>
  <w:num w:numId="6">
    <w:abstractNumId w:val="3"/>
  </w:num>
  <w:num w:numId="7">
    <w:abstractNumId w:val="1"/>
  </w:num>
  <w:num w:numId="8">
    <w:abstractNumId w:val="13"/>
  </w:num>
  <w:num w:numId="9">
    <w:abstractNumId w:val="7"/>
  </w:num>
  <w:num w:numId="10">
    <w:abstractNumId w:val="8"/>
  </w:num>
  <w:num w:numId="11">
    <w:abstractNumId w:val="2"/>
  </w:num>
  <w:num w:numId="12">
    <w:abstractNumId w:val="11"/>
  </w:num>
  <w:num w:numId="13">
    <w:abstractNumId w:val="12"/>
  </w:num>
  <w:num w:numId="14">
    <w:abstractNumId w:val="6"/>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40AE"/>
    <w:rsid w:val="005840AE"/>
    <w:rsid w:val="005F4618"/>
    <w:rsid w:val="00A82B42"/>
    <w:rsid w:val="00BF434B"/>
    <w:rsid w:val="00F919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C605E6"/>
  <w15:chartTrackingRefBased/>
  <w15:docId w15:val="{7614CD07-83C5-4852-8171-E68A904F0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Hyperlink">
    <w:name w:val="Hyperlink"/>
    <w:basedOn w:val="DefaultParagraphFont"/>
    <w:uiPriority w:val="99"/>
    <w:unhideWhenUsed/>
    <w:rPr>
      <w:color w:val="0563C1" w:themeColor="hyperlink"/>
      <w:u w:val="single"/>
    </w:rPr>
  </w:style>
  <w:style w:type="character" w:customStyle="1" w:styleId="UnresolvedMention1">
    <w:name w:val="Unresolved Mention1"/>
    <w:basedOn w:val="DefaultParagraphFont"/>
    <w:uiPriority w:val="99"/>
    <w:semiHidden/>
    <w:unhideWhenUsed/>
    <w:rPr>
      <w:color w:val="605E5C"/>
      <w:shd w:val="clear" w:color="auto" w:fill="E1DFDD"/>
    </w:r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ec.gov/legal-resources/court-cases/buckley-v-valeo/"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caselaw.findlaw.com/us-dc-circuit/1707111.html" TargetMode="External"/><Relationship Id="rId4" Type="http://schemas.openxmlformats.org/officeDocument/2006/relationships/settings" Target="settings.xml"/><Relationship Id="rId9" Type="http://schemas.openxmlformats.org/officeDocument/2006/relationships/hyperlink" Target="https://www.fec.gov/legal-resources/court-cases/citizens-united-v-fe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C9C74D-A321-4D40-AAB2-2CFC6D845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641</Words>
  <Characters>3654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 Kelly</dc:creator>
  <cp:keywords/>
  <dc:description/>
  <cp:lastModifiedBy>Carr, Kelly</cp:lastModifiedBy>
  <cp:revision>2</cp:revision>
  <cp:lastPrinted>2021-04-30T20:12:00Z</cp:lastPrinted>
  <dcterms:created xsi:type="dcterms:W3CDTF">2021-05-17T14:08:00Z</dcterms:created>
  <dcterms:modified xsi:type="dcterms:W3CDTF">2021-05-17T14:08:00Z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119774164</vt:i4>
  </property>
  <property fmtid="{D5CDD505-2E9C-101B-9397-08002B2CF9AE}" pid="3" name="_NewReviewCycle">
    <vt:lpwstr/>
  </property>
  <property fmtid="{D5CDD505-2E9C-101B-9397-08002B2CF9AE}" pid="4" name="_EmailSubject">
    <vt:lpwstr>Draft Minutes 4.23.21</vt:lpwstr>
  </property>
  <property fmtid="{D5CDD505-2E9C-101B-9397-08002B2CF9AE}" pid="5" name="_AuthorEmail">
    <vt:lpwstr>Alicia.Bond-Lewis@dinsmore.com</vt:lpwstr>
  </property>
  <property fmtid="{D5CDD505-2E9C-101B-9397-08002B2CF9AE}" pid="6" name="_AuthorEmailDisplayName">
    <vt:lpwstr>Bond-Lewis, Alicia</vt:lpwstr>
  </property>
  <property fmtid="{D5CDD505-2E9C-101B-9397-08002B2CF9AE}" pid="7" name="_ReviewingToolsShownOnce">
    <vt:lpwstr/>
  </property>
</Properties>
</file>